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51" w:rsidRPr="00F23737" w:rsidRDefault="00844651" w:rsidP="00844651">
      <w:pPr>
        <w:jc w:val="center"/>
        <w:rPr>
          <w:rFonts w:ascii="Arial" w:hAnsi="Arial" w:cs="Arial"/>
          <w:sz w:val="24"/>
          <w:szCs w:val="24"/>
        </w:rPr>
      </w:pPr>
      <w:r w:rsidRPr="00F23737">
        <w:rPr>
          <w:rFonts w:ascii="Arial" w:hAnsi="Arial" w:cs="Arial"/>
          <w:sz w:val="24"/>
          <w:szCs w:val="24"/>
        </w:rPr>
        <w:t>COMUNICADO</w:t>
      </w:r>
      <w:bookmarkStart w:id="0" w:name="_GoBack"/>
      <w:bookmarkEnd w:id="0"/>
    </w:p>
    <w:p w:rsidR="00844651" w:rsidRPr="00F23737" w:rsidRDefault="00844651" w:rsidP="00844651">
      <w:pPr>
        <w:jc w:val="center"/>
        <w:rPr>
          <w:rFonts w:ascii="Arial" w:hAnsi="Arial" w:cs="Arial"/>
          <w:sz w:val="24"/>
          <w:szCs w:val="24"/>
        </w:rPr>
      </w:pPr>
      <w:r w:rsidRPr="00F23737">
        <w:rPr>
          <w:rFonts w:ascii="Arial" w:hAnsi="Arial" w:cs="Arial"/>
          <w:sz w:val="24"/>
          <w:szCs w:val="24"/>
        </w:rPr>
        <w:t>Edital Especial de Convocação</w:t>
      </w:r>
      <w:r w:rsidR="00FD5896" w:rsidRPr="00F23737">
        <w:rPr>
          <w:rFonts w:ascii="Arial" w:hAnsi="Arial" w:cs="Arial"/>
          <w:sz w:val="24"/>
          <w:szCs w:val="24"/>
        </w:rPr>
        <w:t xml:space="preserve"> de Eleição da SP-PREVCOM – 2024</w:t>
      </w:r>
    </w:p>
    <w:p w:rsidR="00844651" w:rsidRPr="00F23737" w:rsidRDefault="00844651" w:rsidP="00844651">
      <w:pPr>
        <w:jc w:val="center"/>
        <w:rPr>
          <w:rFonts w:ascii="Arial" w:hAnsi="Arial" w:cs="Arial"/>
          <w:sz w:val="24"/>
          <w:szCs w:val="24"/>
        </w:rPr>
      </w:pPr>
    </w:p>
    <w:p w:rsidR="00844651" w:rsidRPr="00F23737" w:rsidRDefault="00844651" w:rsidP="00844651">
      <w:pPr>
        <w:jc w:val="center"/>
        <w:rPr>
          <w:rFonts w:ascii="Arial" w:hAnsi="Arial" w:cs="Arial"/>
          <w:sz w:val="24"/>
          <w:szCs w:val="24"/>
        </w:rPr>
      </w:pPr>
    </w:p>
    <w:p w:rsidR="00844651" w:rsidRPr="00F23737" w:rsidRDefault="00844651" w:rsidP="00844651">
      <w:pPr>
        <w:jc w:val="center"/>
        <w:rPr>
          <w:rFonts w:ascii="Arial" w:hAnsi="Arial" w:cs="Arial"/>
          <w:b/>
          <w:sz w:val="24"/>
          <w:szCs w:val="24"/>
        </w:rPr>
      </w:pPr>
      <w:r w:rsidRPr="00F23737">
        <w:rPr>
          <w:rFonts w:ascii="Arial" w:hAnsi="Arial" w:cs="Arial"/>
          <w:b/>
          <w:sz w:val="24"/>
          <w:szCs w:val="24"/>
        </w:rPr>
        <w:t>CAPÍTULO I</w:t>
      </w:r>
    </w:p>
    <w:p w:rsidR="00844651" w:rsidRPr="00F23737" w:rsidRDefault="00844651" w:rsidP="00844651">
      <w:pPr>
        <w:jc w:val="center"/>
        <w:rPr>
          <w:rFonts w:ascii="Arial" w:hAnsi="Arial" w:cs="Arial"/>
          <w:b/>
          <w:sz w:val="24"/>
          <w:szCs w:val="24"/>
        </w:rPr>
      </w:pPr>
      <w:r w:rsidRPr="00F23737">
        <w:rPr>
          <w:rFonts w:ascii="Arial" w:hAnsi="Arial" w:cs="Arial"/>
          <w:b/>
          <w:sz w:val="24"/>
          <w:szCs w:val="24"/>
        </w:rPr>
        <w:t>Disposições Preliminares</w:t>
      </w:r>
    </w:p>
    <w:p w:rsidR="00844651" w:rsidRPr="00F23737" w:rsidRDefault="00844651" w:rsidP="00844651">
      <w:pPr>
        <w:jc w:val="center"/>
        <w:rPr>
          <w:rFonts w:ascii="Arial" w:hAnsi="Arial" w:cs="Arial"/>
          <w:b/>
          <w:sz w:val="24"/>
          <w:szCs w:val="24"/>
        </w:rPr>
      </w:pPr>
    </w:p>
    <w:p w:rsidR="00844651" w:rsidRPr="00F23737" w:rsidRDefault="00844651" w:rsidP="00844651">
      <w:pPr>
        <w:ind w:firstLine="708"/>
        <w:jc w:val="both"/>
        <w:rPr>
          <w:rFonts w:ascii="Arial" w:hAnsi="Arial" w:cs="Arial"/>
          <w:szCs w:val="24"/>
        </w:rPr>
      </w:pPr>
      <w:r w:rsidRPr="00F23737">
        <w:rPr>
          <w:rFonts w:ascii="Arial" w:hAnsi="Arial" w:cs="Arial"/>
          <w:b/>
          <w:sz w:val="24"/>
          <w:szCs w:val="24"/>
        </w:rPr>
        <w:t>Art. 1º</w:t>
      </w:r>
      <w:r w:rsidRPr="00F23737">
        <w:rPr>
          <w:rFonts w:ascii="Arial" w:hAnsi="Arial" w:cs="Arial"/>
          <w:sz w:val="24"/>
          <w:szCs w:val="24"/>
        </w:rPr>
        <w:t xml:space="preserve"> </w:t>
      </w:r>
      <w:r w:rsidRPr="00F23737">
        <w:rPr>
          <w:rFonts w:ascii="Arial" w:hAnsi="Arial" w:cs="Arial"/>
          <w:b/>
          <w:sz w:val="24"/>
          <w:szCs w:val="24"/>
        </w:rPr>
        <w:t>-</w:t>
      </w:r>
      <w:r w:rsidRPr="00F23737">
        <w:rPr>
          <w:rFonts w:ascii="Arial" w:hAnsi="Arial" w:cs="Arial"/>
          <w:sz w:val="24"/>
          <w:szCs w:val="24"/>
        </w:rPr>
        <w:t xml:space="preserve"> Nos termos do Art. 6º, Parágrafo Único do Edital de Convocação</w:t>
      </w:r>
      <w:r w:rsidR="00FD5896" w:rsidRPr="00F23737">
        <w:rPr>
          <w:rFonts w:ascii="Arial" w:hAnsi="Arial" w:cs="Arial"/>
          <w:sz w:val="24"/>
          <w:szCs w:val="24"/>
        </w:rPr>
        <w:t xml:space="preserve"> de Eleição da SP-PREVCOM – 202</w:t>
      </w:r>
      <w:r w:rsidR="00AC0A9E" w:rsidRPr="00F23737">
        <w:rPr>
          <w:rFonts w:ascii="Arial" w:hAnsi="Arial" w:cs="Arial"/>
          <w:sz w:val="24"/>
          <w:szCs w:val="24"/>
        </w:rPr>
        <w:t xml:space="preserve">4 publicado no DOE em 11/10/2023 </w:t>
      </w:r>
      <w:r w:rsidRPr="00F23737">
        <w:rPr>
          <w:rFonts w:ascii="Arial" w:hAnsi="Arial" w:cs="Arial"/>
          <w:sz w:val="24"/>
          <w:szCs w:val="24"/>
        </w:rPr>
        <w:t xml:space="preserve">e sem prejuízo das candidaturas já recebidas de representantes dos Participantes, este Edital convoca os Participantes da FUNDAÇÃO DE PREVIDÊNCIA COMPLEMENTAR DO ESTADO DE SÃO PAULO - SP-PREVCOM para se </w:t>
      </w:r>
      <w:r w:rsidR="00462DFD" w:rsidRPr="00F23737">
        <w:rPr>
          <w:rFonts w:ascii="Arial" w:hAnsi="Arial" w:cs="Arial"/>
          <w:sz w:val="24"/>
          <w:szCs w:val="24"/>
        </w:rPr>
        <w:t>candidatarem para as vagas de 2 (dois)  membros do Conselho Deliberativo e respectivos suplentes e</w:t>
      </w:r>
      <w:r w:rsidRPr="00F23737">
        <w:rPr>
          <w:rFonts w:ascii="Arial" w:hAnsi="Arial" w:cs="Arial"/>
          <w:sz w:val="24"/>
          <w:szCs w:val="24"/>
        </w:rPr>
        <w:t xml:space="preserve"> de 1 (um) membro do Conselho Fiscal </w:t>
      </w:r>
      <w:r w:rsidR="009D45FA" w:rsidRPr="00F23737">
        <w:rPr>
          <w:rFonts w:ascii="Arial" w:hAnsi="Arial" w:cs="Arial"/>
          <w:sz w:val="24"/>
          <w:szCs w:val="24"/>
        </w:rPr>
        <w:t>e respectivo suplente</w:t>
      </w:r>
      <w:r w:rsidRPr="00F23737">
        <w:rPr>
          <w:rFonts w:ascii="Arial" w:hAnsi="Arial" w:cs="Arial"/>
          <w:sz w:val="24"/>
          <w:szCs w:val="24"/>
        </w:rPr>
        <w:t xml:space="preserve">, observado o disposto no Edital, nas Leis Complementares nº 108 e 109, de 29 de maio de 2001, bem como no seu Estatuto Social aprovado pelo Decreto nº 57.785 de 10.02.2012, publicado no DOE de 11.02.2012 e no Regulamento Eleitoral da SP-PREVCOM aprovado pelo Decreto nº 59.702 de 5 de novembro de 2013, </w:t>
      </w:r>
      <w:r w:rsidRPr="00F23737">
        <w:rPr>
          <w:rFonts w:ascii="Arial" w:hAnsi="Arial" w:cs="Arial"/>
          <w:szCs w:val="24"/>
        </w:rPr>
        <w:t xml:space="preserve">publicado no DOE de 6 de novembro de 2013. </w:t>
      </w:r>
    </w:p>
    <w:p w:rsidR="00844651" w:rsidRPr="00F23737" w:rsidRDefault="00844651" w:rsidP="00844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23737">
        <w:rPr>
          <w:rFonts w:ascii="Arial" w:hAnsi="Arial" w:cs="Arial"/>
          <w:b/>
          <w:sz w:val="24"/>
          <w:szCs w:val="24"/>
        </w:rPr>
        <w:t>§ 1º</w:t>
      </w:r>
      <w:r w:rsidRPr="00F23737">
        <w:rPr>
          <w:rFonts w:ascii="Arial" w:hAnsi="Arial" w:cs="Arial"/>
          <w:sz w:val="24"/>
          <w:szCs w:val="24"/>
        </w:rPr>
        <w:t xml:space="preserve"> </w:t>
      </w:r>
      <w:r w:rsidRPr="00F23737">
        <w:rPr>
          <w:rFonts w:ascii="Arial" w:hAnsi="Arial" w:cs="Arial"/>
          <w:b/>
          <w:sz w:val="24"/>
          <w:szCs w:val="24"/>
        </w:rPr>
        <w:t>-</w:t>
      </w:r>
      <w:r w:rsidRPr="00F23737">
        <w:rPr>
          <w:rFonts w:ascii="Arial" w:hAnsi="Arial" w:cs="Arial"/>
          <w:sz w:val="24"/>
          <w:szCs w:val="24"/>
        </w:rPr>
        <w:t xml:space="preserve"> As atribuições do Conselho Deliberativo e do Conselho Fiscal encontram-se definidas no Capítulo VII,</w:t>
      </w:r>
      <w:r w:rsidR="009D45FA" w:rsidRPr="00F23737">
        <w:rPr>
          <w:rFonts w:ascii="Arial" w:hAnsi="Arial" w:cs="Arial"/>
          <w:sz w:val="24"/>
          <w:szCs w:val="24"/>
        </w:rPr>
        <w:t xml:space="preserve"> Seção VII </w:t>
      </w:r>
      <w:r w:rsidRPr="00F23737">
        <w:rPr>
          <w:rFonts w:ascii="Arial" w:hAnsi="Arial" w:cs="Arial"/>
          <w:sz w:val="24"/>
          <w:szCs w:val="24"/>
        </w:rPr>
        <w:t>do Estatuto Socia</w:t>
      </w:r>
      <w:r w:rsidR="009D45FA" w:rsidRPr="00F23737">
        <w:rPr>
          <w:rFonts w:ascii="Arial" w:hAnsi="Arial" w:cs="Arial"/>
          <w:sz w:val="24"/>
          <w:szCs w:val="24"/>
        </w:rPr>
        <w:t>l da SP-PREVCOM bem como em seu Regimento Interno</w:t>
      </w:r>
      <w:r w:rsidRPr="00F23737">
        <w:rPr>
          <w:rFonts w:ascii="Arial" w:hAnsi="Arial" w:cs="Arial"/>
          <w:sz w:val="24"/>
          <w:szCs w:val="24"/>
        </w:rPr>
        <w:t>.</w:t>
      </w:r>
    </w:p>
    <w:p w:rsidR="00844651" w:rsidRPr="00F23737" w:rsidRDefault="00844651" w:rsidP="00844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23737">
        <w:rPr>
          <w:rFonts w:ascii="Arial" w:hAnsi="Arial" w:cs="Arial"/>
          <w:b/>
          <w:sz w:val="24"/>
          <w:szCs w:val="24"/>
        </w:rPr>
        <w:t>§ 2º</w:t>
      </w:r>
      <w:r w:rsidRPr="00F23737">
        <w:rPr>
          <w:rFonts w:ascii="Arial" w:hAnsi="Arial" w:cs="Arial"/>
          <w:sz w:val="24"/>
          <w:szCs w:val="24"/>
        </w:rPr>
        <w:t xml:space="preserve"> </w:t>
      </w:r>
      <w:r w:rsidRPr="00F23737">
        <w:rPr>
          <w:rFonts w:ascii="Arial" w:hAnsi="Arial" w:cs="Arial"/>
          <w:b/>
          <w:sz w:val="24"/>
          <w:szCs w:val="24"/>
        </w:rPr>
        <w:t>-</w:t>
      </w:r>
      <w:r w:rsidRPr="00F23737">
        <w:rPr>
          <w:rFonts w:ascii="Arial" w:hAnsi="Arial" w:cs="Arial"/>
          <w:sz w:val="24"/>
          <w:szCs w:val="24"/>
        </w:rPr>
        <w:t xml:space="preserve"> Os termos técnicos específicos relacionados à previdência complementar constantes neste Edital são aqueles definidos no Estatuto Social da SP-PREVCOM e no Regulamento Eleitoral.</w:t>
      </w:r>
    </w:p>
    <w:p w:rsidR="00844651" w:rsidRPr="00F23737" w:rsidRDefault="00844651" w:rsidP="00844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23737">
        <w:rPr>
          <w:rFonts w:ascii="Arial" w:hAnsi="Arial" w:cs="Arial"/>
          <w:b/>
          <w:sz w:val="24"/>
          <w:szCs w:val="24"/>
        </w:rPr>
        <w:t>Art. 2º</w:t>
      </w:r>
      <w:r w:rsidRPr="00F23737">
        <w:rPr>
          <w:rFonts w:ascii="Arial" w:hAnsi="Arial" w:cs="Arial"/>
          <w:sz w:val="24"/>
          <w:szCs w:val="24"/>
        </w:rPr>
        <w:t xml:space="preserve"> </w:t>
      </w:r>
      <w:r w:rsidRPr="00F23737">
        <w:rPr>
          <w:rFonts w:ascii="Arial" w:hAnsi="Arial" w:cs="Arial"/>
          <w:b/>
          <w:sz w:val="24"/>
          <w:szCs w:val="24"/>
        </w:rPr>
        <w:t>-</w:t>
      </w:r>
      <w:r w:rsidRPr="00F23737">
        <w:rPr>
          <w:rFonts w:ascii="Arial" w:hAnsi="Arial" w:cs="Arial"/>
          <w:sz w:val="24"/>
          <w:szCs w:val="24"/>
        </w:rPr>
        <w:t xml:space="preserve"> As eleições serão disciplinadas pelas regras dispostas Edital de Convocação</w:t>
      </w:r>
      <w:r w:rsidR="00FD5896" w:rsidRPr="00F23737">
        <w:rPr>
          <w:rFonts w:ascii="Arial" w:hAnsi="Arial" w:cs="Arial"/>
          <w:sz w:val="24"/>
          <w:szCs w:val="24"/>
        </w:rPr>
        <w:t xml:space="preserve"> de Eleição da SP-PREVCOM – 2024, publicado no DOE em </w:t>
      </w:r>
      <w:r w:rsidR="00AC0A9E" w:rsidRPr="00F23737">
        <w:rPr>
          <w:rFonts w:ascii="Arial" w:hAnsi="Arial" w:cs="Arial"/>
          <w:sz w:val="24"/>
          <w:szCs w:val="24"/>
        </w:rPr>
        <w:t>11/10/2023.</w:t>
      </w:r>
    </w:p>
    <w:p w:rsidR="00844651" w:rsidRPr="00F23737" w:rsidRDefault="00844651" w:rsidP="008446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23737">
        <w:rPr>
          <w:rFonts w:ascii="Arial" w:hAnsi="Arial" w:cs="Arial"/>
          <w:b/>
          <w:sz w:val="24"/>
          <w:szCs w:val="24"/>
        </w:rPr>
        <w:t>Art. 3º</w:t>
      </w:r>
      <w:r w:rsidRPr="00F23737">
        <w:rPr>
          <w:rFonts w:ascii="Arial" w:hAnsi="Arial" w:cs="Arial"/>
          <w:sz w:val="24"/>
          <w:szCs w:val="24"/>
        </w:rPr>
        <w:t xml:space="preserve"> </w:t>
      </w:r>
      <w:r w:rsidRPr="00F23737">
        <w:rPr>
          <w:rFonts w:ascii="Arial" w:hAnsi="Arial" w:cs="Arial"/>
          <w:b/>
          <w:sz w:val="24"/>
          <w:szCs w:val="24"/>
        </w:rPr>
        <w:t>-</w:t>
      </w:r>
      <w:r w:rsidRPr="00F23737">
        <w:rPr>
          <w:rFonts w:ascii="Arial" w:hAnsi="Arial" w:cs="Arial"/>
          <w:sz w:val="24"/>
          <w:szCs w:val="24"/>
        </w:rPr>
        <w:t xml:space="preserve"> Os prazos de inscrição, impugnação, recursos e demais datas do processo eleitoral, constam do calendário eleitoral, anexo I do presente Edital.</w:t>
      </w:r>
    </w:p>
    <w:p w:rsidR="00844651" w:rsidRPr="00F23737" w:rsidRDefault="00844651" w:rsidP="00844651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F03D6" w:rsidRPr="00F23737" w:rsidRDefault="006F03D6" w:rsidP="008446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44651" w:rsidRPr="00F23737" w:rsidRDefault="006F03D6" w:rsidP="00BD378C">
      <w:pPr>
        <w:rPr>
          <w:rFonts w:ascii="Arial" w:hAnsi="Arial" w:cs="Arial"/>
          <w:b/>
          <w:sz w:val="24"/>
          <w:szCs w:val="24"/>
        </w:rPr>
      </w:pPr>
      <w:r w:rsidRPr="00F23737">
        <w:rPr>
          <w:rFonts w:ascii="Arial" w:hAnsi="Arial" w:cs="Arial"/>
          <w:b/>
          <w:sz w:val="24"/>
          <w:szCs w:val="24"/>
        </w:rPr>
        <w:t>Ane</w:t>
      </w:r>
      <w:r w:rsidR="00844651" w:rsidRPr="00F23737">
        <w:rPr>
          <w:rFonts w:ascii="Arial" w:hAnsi="Arial" w:cs="Arial"/>
          <w:b/>
          <w:sz w:val="24"/>
          <w:szCs w:val="24"/>
        </w:rPr>
        <w:t>xo I a que se refere o artigo 3º</w:t>
      </w:r>
    </w:p>
    <w:tbl>
      <w:tblPr>
        <w:tblStyle w:val="Tabelacomgrade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</w:tblGrid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lastRenderedPageBreak/>
              <w:t>Portaria de constituição da Comissão Eleitoral</w:t>
            </w:r>
          </w:p>
        </w:tc>
        <w:tc>
          <w:tcPr>
            <w:tcW w:w="2268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3737" w:rsidRPr="00F23737"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Pr="00F23737">
              <w:rPr>
                <w:rFonts w:ascii="Arial" w:hAnsi="Arial" w:cs="Arial"/>
                <w:b/>
                <w:sz w:val="24"/>
                <w:szCs w:val="24"/>
              </w:rPr>
              <w:t>/10/23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 xml:space="preserve">Publicação do Edital </w:t>
            </w:r>
          </w:p>
        </w:tc>
        <w:tc>
          <w:tcPr>
            <w:tcW w:w="2268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>31/10/23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Prazo para inscrição dos candidatos</w:t>
            </w:r>
          </w:p>
        </w:tc>
        <w:tc>
          <w:tcPr>
            <w:tcW w:w="2268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>31/10 a 16/11/23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Publicação das inscrições recebidas (deferidas- indeferidas)</w:t>
            </w:r>
          </w:p>
        </w:tc>
        <w:tc>
          <w:tcPr>
            <w:tcW w:w="2268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>18/11/23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Prazo para recursos/impugnações</w:t>
            </w:r>
          </w:p>
        </w:tc>
        <w:tc>
          <w:tcPr>
            <w:tcW w:w="2268" w:type="dxa"/>
          </w:tcPr>
          <w:p w:rsidR="005E24F0" w:rsidRPr="00F23737" w:rsidRDefault="005E24F0" w:rsidP="005E24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 xml:space="preserve"> 20 e 21/11</w:t>
            </w:r>
            <w:r w:rsidR="00966DDF" w:rsidRPr="00F23737">
              <w:rPr>
                <w:rFonts w:ascii="Arial" w:hAnsi="Arial" w:cs="Arial"/>
                <w:b/>
                <w:sz w:val="24"/>
                <w:szCs w:val="24"/>
              </w:rPr>
              <w:t>/23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Publicação de recursos/impugnações recebidas</w:t>
            </w:r>
          </w:p>
        </w:tc>
        <w:tc>
          <w:tcPr>
            <w:tcW w:w="2268" w:type="dxa"/>
          </w:tcPr>
          <w:p w:rsidR="005E24F0" w:rsidRPr="00F23737" w:rsidRDefault="00966DDF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>22/11/23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 xml:space="preserve">Prazo para candidato impugnado apresentar defesa </w:t>
            </w:r>
          </w:p>
        </w:tc>
        <w:tc>
          <w:tcPr>
            <w:tcW w:w="2268" w:type="dxa"/>
          </w:tcPr>
          <w:p w:rsidR="005E24F0" w:rsidRPr="00F23737" w:rsidRDefault="00966DDF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>23 e 24/11</w:t>
            </w:r>
            <w:r w:rsidR="009D45FA" w:rsidRPr="00F23737">
              <w:rPr>
                <w:rFonts w:ascii="Arial" w:hAnsi="Arial" w:cs="Arial"/>
                <w:b/>
                <w:sz w:val="24"/>
                <w:szCs w:val="24"/>
              </w:rPr>
              <w:t>/23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Prazo para Comissão Eleitoral apreciar a defesa da impugnação</w:t>
            </w:r>
          </w:p>
        </w:tc>
        <w:tc>
          <w:tcPr>
            <w:tcW w:w="2268" w:type="dxa"/>
          </w:tcPr>
          <w:p w:rsidR="005E24F0" w:rsidRPr="00F23737" w:rsidRDefault="00966DDF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>27 e 28/11</w:t>
            </w:r>
            <w:r w:rsidR="009D45FA" w:rsidRPr="00F23737">
              <w:rPr>
                <w:rFonts w:ascii="Arial" w:hAnsi="Arial" w:cs="Arial"/>
                <w:b/>
                <w:sz w:val="24"/>
                <w:szCs w:val="24"/>
              </w:rPr>
              <w:t>/23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Publicação decisão Comissão Eleitoral</w:t>
            </w:r>
          </w:p>
        </w:tc>
        <w:tc>
          <w:tcPr>
            <w:tcW w:w="2268" w:type="dxa"/>
          </w:tcPr>
          <w:p w:rsidR="005E24F0" w:rsidRPr="00F23737" w:rsidRDefault="00966DDF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>29/11/23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Prazo recurso ao Conselho Deliberativo</w:t>
            </w:r>
          </w:p>
        </w:tc>
        <w:tc>
          <w:tcPr>
            <w:tcW w:w="2268" w:type="dxa"/>
          </w:tcPr>
          <w:p w:rsidR="005E24F0" w:rsidRPr="00F23737" w:rsidRDefault="00966DDF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>30/11 e 01/12</w:t>
            </w:r>
            <w:r w:rsidR="009D45FA" w:rsidRPr="00F23737">
              <w:rPr>
                <w:rFonts w:ascii="Arial" w:hAnsi="Arial" w:cs="Arial"/>
                <w:b/>
                <w:sz w:val="24"/>
                <w:szCs w:val="24"/>
              </w:rPr>
              <w:t>/23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Prazo apreciação recurso pelo Conselho Deliberativo</w:t>
            </w:r>
          </w:p>
        </w:tc>
        <w:tc>
          <w:tcPr>
            <w:tcW w:w="2268" w:type="dxa"/>
          </w:tcPr>
          <w:p w:rsidR="005E24F0" w:rsidRPr="00F23737" w:rsidRDefault="00966DDF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 xml:space="preserve"> 04 a 08/12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 xml:space="preserve">Publicação decisão Conselho Deliberativo </w:t>
            </w:r>
          </w:p>
        </w:tc>
        <w:tc>
          <w:tcPr>
            <w:tcW w:w="2268" w:type="dxa"/>
          </w:tcPr>
          <w:p w:rsidR="005E24F0" w:rsidRPr="00F23737" w:rsidRDefault="00966DDF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>12/12/23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Publicação lista final candidatos</w:t>
            </w:r>
          </w:p>
        </w:tc>
        <w:tc>
          <w:tcPr>
            <w:tcW w:w="2268" w:type="dxa"/>
          </w:tcPr>
          <w:p w:rsidR="005E24F0" w:rsidRPr="00F23737" w:rsidRDefault="00966DDF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>13/12/23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 xml:space="preserve">Sorteio nº candidatura </w:t>
            </w:r>
          </w:p>
        </w:tc>
        <w:tc>
          <w:tcPr>
            <w:tcW w:w="2268" w:type="dxa"/>
          </w:tcPr>
          <w:p w:rsidR="005E24F0" w:rsidRPr="00F23737" w:rsidRDefault="00966DDF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>14/12/23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Publicação nº das duplas</w:t>
            </w:r>
          </w:p>
        </w:tc>
        <w:tc>
          <w:tcPr>
            <w:tcW w:w="2268" w:type="dxa"/>
          </w:tcPr>
          <w:p w:rsidR="005E24F0" w:rsidRPr="00F23737" w:rsidRDefault="00966DDF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>15/12/23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Eleição</w:t>
            </w:r>
          </w:p>
        </w:tc>
        <w:tc>
          <w:tcPr>
            <w:tcW w:w="2268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 xml:space="preserve"> 30 e 31</w:t>
            </w:r>
            <w:r w:rsidR="00966DDF" w:rsidRPr="00F23737">
              <w:rPr>
                <w:rFonts w:ascii="Arial" w:hAnsi="Arial" w:cs="Arial"/>
                <w:b/>
                <w:sz w:val="24"/>
                <w:szCs w:val="24"/>
              </w:rPr>
              <w:t>/01/24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Apuração dos votos</w:t>
            </w:r>
          </w:p>
        </w:tc>
        <w:tc>
          <w:tcPr>
            <w:tcW w:w="2268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 xml:space="preserve"> 01/02</w:t>
            </w:r>
            <w:r w:rsidR="00966DDF" w:rsidRPr="00F23737">
              <w:rPr>
                <w:rFonts w:ascii="Arial" w:hAnsi="Arial" w:cs="Arial"/>
                <w:b/>
                <w:sz w:val="24"/>
                <w:szCs w:val="24"/>
              </w:rPr>
              <w:t>/24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Publicação resultado dos votos apurados</w:t>
            </w:r>
          </w:p>
        </w:tc>
        <w:tc>
          <w:tcPr>
            <w:tcW w:w="2268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 xml:space="preserve"> 02/02</w:t>
            </w:r>
            <w:r w:rsidR="00966DDF" w:rsidRPr="00F23737">
              <w:rPr>
                <w:rFonts w:ascii="Arial" w:hAnsi="Arial" w:cs="Arial"/>
                <w:b/>
                <w:sz w:val="24"/>
                <w:szCs w:val="24"/>
              </w:rPr>
              <w:t>/24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Prazo para impugnação do resultado</w:t>
            </w:r>
          </w:p>
        </w:tc>
        <w:tc>
          <w:tcPr>
            <w:tcW w:w="2268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 xml:space="preserve"> 05 e 06/02</w:t>
            </w:r>
            <w:r w:rsidR="00966DDF" w:rsidRPr="00F23737">
              <w:rPr>
                <w:rFonts w:ascii="Arial" w:hAnsi="Arial" w:cs="Arial"/>
                <w:b/>
                <w:sz w:val="24"/>
                <w:szCs w:val="24"/>
              </w:rPr>
              <w:t>/24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Julgamento das impugnações</w:t>
            </w:r>
          </w:p>
        </w:tc>
        <w:tc>
          <w:tcPr>
            <w:tcW w:w="2268" w:type="dxa"/>
          </w:tcPr>
          <w:p w:rsidR="005E24F0" w:rsidRPr="00F23737" w:rsidRDefault="00966DDF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E24F0" w:rsidRPr="00F23737">
              <w:rPr>
                <w:rFonts w:ascii="Arial" w:hAnsi="Arial" w:cs="Arial"/>
                <w:b/>
                <w:sz w:val="24"/>
                <w:szCs w:val="24"/>
              </w:rPr>
              <w:t>07 e 08/02</w:t>
            </w:r>
            <w:r w:rsidRPr="00F23737">
              <w:rPr>
                <w:rFonts w:ascii="Arial" w:hAnsi="Arial" w:cs="Arial"/>
                <w:b/>
                <w:sz w:val="24"/>
                <w:szCs w:val="24"/>
              </w:rPr>
              <w:t>/24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Publicação decisão Comissão Eleitoral</w:t>
            </w:r>
          </w:p>
        </w:tc>
        <w:tc>
          <w:tcPr>
            <w:tcW w:w="2268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 xml:space="preserve"> 09/02</w:t>
            </w:r>
            <w:r w:rsidR="00966DDF" w:rsidRPr="00F23737">
              <w:rPr>
                <w:rFonts w:ascii="Arial" w:hAnsi="Arial" w:cs="Arial"/>
                <w:b/>
                <w:sz w:val="24"/>
                <w:szCs w:val="24"/>
              </w:rPr>
              <w:t>/24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Prazo Recurso</w:t>
            </w:r>
          </w:p>
        </w:tc>
        <w:tc>
          <w:tcPr>
            <w:tcW w:w="2268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66DDF" w:rsidRPr="00F23737">
              <w:rPr>
                <w:rFonts w:ascii="Arial" w:hAnsi="Arial" w:cs="Arial"/>
                <w:b/>
                <w:sz w:val="24"/>
                <w:szCs w:val="24"/>
              </w:rPr>
              <w:t>15 e 16/02/24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lastRenderedPageBreak/>
              <w:t>Prazo Julgamento Recurso pelo Conselho Deliberativo</w:t>
            </w:r>
          </w:p>
        </w:tc>
        <w:tc>
          <w:tcPr>
            <w:tcW w:w="2268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 xml:space="preserve"> 19 a 23/02</w:t>
            </w:r>
            <w:r w:rsidR="00966DDF" w:rsidRPr="00F23737">
              <w:rPr>
                <w:rFonts w:ascii="Arial" w:hAnsi="Arial" w:cs="Arial"/>
                <w:b/>
                <w:sz w:val="24"/>
                <w:szCs w:val="24"/>
              </w:rPr>
              <w:t>/24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Publicação decisão Conselho Deliberativo</w:t>
            </w:r>
          </w:p>
        </w:tc>
        <w:tc>
          <w:tcPr>
            <w:tcW w:w="2268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 xml:space="preserve"> 27/02</w:t>
            </w:r>
            <w:r w:rsidR="00966DDF" w:rsidRPr="00F23737">
              <w:rPr>
                <w:rFonts w:ascii="Arial" w:hAnsi="Arial" w:cs="Arial"/>
                <w:b/>
                <w:sz w:val="24"/>
                <w:szCs w:val="24"/>
              </w:rPr>
              <w:t>/24</w:t>
            </w:r>
          </w:p>
        </w:tc>
      </w:tr>
      <w:tr w:rsidR="00F23737" w:rsidRPr="00F23737" w:rsidTr="000F0360">
        <w:tc>
          <w:tcPr>
            <w:tcW w:w="4962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737">
              <w:rPr>
                <w:rFonts w:ascii="Arial" w:hAnsi="Arial" w:cs="Arial"/>
                <w:sz w:val="24"/>
                <w:szCs w:val="24"/>
              </w:rPr>
              <w:t>Homologação do resultado</w:t>
            </w:r>
          </w:p>
        </w:tc>
        <w:tc>
          <w:tcPr>
            <w:tcW w:w="2268" w:type="dxa"/>
          </w:tcPr>
          <w:p w:rsidR="005E24F0" w:rsidRPr="00F23737" w:rsidRDefault="005E24F0" w:rsidP="000F03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3737">
              <w:rPr>
                <w:rFonts w:ascii="Arial" w:hAnsi="Arial" w:cs="Arial"/>
                <w:b/>
                <w:sz w:val="24"/>
                <w:szCs w:val="24"/>
              </w:rPr>
              <w:t xml:space="preserve"> 28/02</w:t>
            </w:r>
            <w:r w:rsidR="00966DDF" w:rsidRPr="00F23737">
              <w:rPr>
                <w:rFonts w:ascii="Arial" w:hAnsi="Arial" w:cs="Arial"/>
                <w:b/>
                <w:sz w:val="24"/>
                <w:szCs w:val="24"/>
              </w:rPr>
              <w:t>/24</w:t>
            </w:r>
          </w:p>
        </w:tc>
      </w:tr>
    </w:tbl>
    <w:p w:rsidR="005E24F0" w:rsidRPr="00F23737" w:rsidRDefault="005E24F0" w:rsidP="00844651">
      <w:pPr>
        <w:jc w:val="center"/>
        <w:rPr>
          <w:rFonts w:ascii="Arial" w:hAnsi="Arial" w:cs="Arial"/>
          <w:b/>
          <w:sz w:val="24"/>
          <w:szCs w:val="24"/>
        </w:rPr>
      </w:pPr>
    </w:p>
    <w:sectPr w:rsidR="005E24F0" w:rsidRPr="00F237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51"/>
    <w:rsid w:val="00147610"/>
    <w:rsid w:val="003B3427"/>
    <w:rsid w:val="003C05FD"/>
    <w:rsid w:val="00462DFD"/>
    <w:rsid w:val="004B4E93"/>
    <w:rsid w:val="005B0D7F"/>
    <w:rsid w:val="005E24F0"/>
    <w:rsid w:val="006F03D6"/>
    <w:rsid w:val="00844651"/>
    <w:rsid w:val="00966DDF"/>
    <w:rsid w:val="009973A9"/>
    <w:rsid w:val="009D45FA"/>
    <w:rsid w:val="00AC0A9E"/>
    <w:rsid w:val="00BD378C"/>
    <w:rsid w:val="00F23737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650F0-628D-4331-AF03-8DF85148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5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44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Regina Bidin Pavan Firmiano</dc:creator>
  <cp:keywords/>
  <dc:description/>
  <cp:lastModifiedBy>Sandra Regina Bidin Pavan Firmiano</cp:lastModifiedBy>
  <cp:revision>9</cp:revision>
  <dcterms:created xsi:type="dcterms:W3CDTF">2023-08-22T17:39:00Z</dcterms:created>
  <dcterms:modified xsi:type="dcterms:W3CDTF">2023-10-30T11:03:00Z</dcterms:modified>
</cp:coreProperties>
</file>